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jc w:val="center"/>
        <w:rPr>
          <w:rFonts w:hint="eastAsia" w:ascii="方正小标宋简体" w:eastAsia="方正小标宋简体" w:cs="Times New Roman"/>
          <w:color w:val="auto"/>
          <w:kern w:val="2"/>
          <w:sz w:val="44"/>
          <w:szCs w:val="44"/>
        </w:rPr>
      </w:pPr>
      <w:r>
        <w:rPr>
          <w:rFonts w:hint="eastAsia" w:ascii="方正小标宋简体" w:eastAsia="方正小标宋简体" w:cs="Times New Roman"/>
          <w:color w:val="auto"/>
          <w:kern w:val="2"/>
          <w:sz w:val="44"/>
          <w:szCs w:val="44"/>
        </w:rPr>
        <w:t>湖南省房地产开发企业信用评分指标</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804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06" w:type="dxa"/>
            <w:gridSpan w:val="3"/>
            <w:noWrap w:val="0"/>
            <w:vAlign w:val="center"/>
          </w:tcPr>
          <w:p>
            <w:pPr>
              <w:widowControl/>
              <w:spacing w:line="400" w:lineRule="exact"/>
              <w:jc w:val="center"/>
              <w:rPr>
                <w:rFonts w:ascii="宋体" w:hAnsi="宋体" w:cs="宋体"/>
                <w:b/>
                <w:bCs/>
                <w:color w:val="auto"/>
                <w:kern w:val="0"/>
                <w:sz w:val="24"/>
                <w:szCs w:val="24"/>
              </w:rPr>
            </w:pPr>
            <w:r>
              <w:rPr>
                <w:rFonts w:hint="eastAsia" w:ascii="宋体" w:hAnsi="宋体" w:cs="宋体"/>
                <w:b/>
                <w:bCs/>
                <w:color w:val="auto"/>
                <w:kern w:val="0"/>
                <w:sz w:val="24"/>
                <w:szCs w:val="24"/>
              </w:rPr>
              <w:t>良好信用记录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24" w:type="dxa"/>
            <w:noWrap w:val="0"/>
            <w:vAlign w:val="center"/>
          </w:tcPr>
          <w:p>
            <w:pPr>
              <w:widowControl/>
              <w:spacing w:line="400" w:lineRule="exact"/>
              <w:jc w:val="center"/>
              <w:rPr>
                <w:rFonts w:ascii="宋体" w:hAnsi="宋体" w:cs="宋体"/>
                <w:b/>
                <w:bCs/>
                <w:color w:val="auto"/>
                <w:kern w:val="0"/>
                <w:sz w:val="24"/>
                <w:szCs w:val="24"/>
              </w:rPr>
            </w:pPr>
            <w:r>
              <w:rPr>
                <w:rFonts w:hint="eastAsia" w:ascii="宋体" w:hAnsi="宋体" w:cs="宋体"/>
                <w:b/>
                <w:bCs/>
                <w:color w:val="auto"/>
                <w:kern w:val="0"/>
                <w:sz w:val="24"/>
                <w:szCs w:val="24"/>
              </w:rPr>
              <w:t>序列</w:t>
            </w:r>
          </w:p>
        </w:tc>
        <w:tc>
          <w:tcPr>
            <w:tcW w:w="8043" w:type="dxa"/>
            <w:noWrap w:val="0"/>
            <w:vAlign w:val="center"/>
          </w:tcPr>
          <w:p>
            <w:pPr>
              <w:widowControl/>
              <w:spacing w:line="400" w:lineRule="exact"/>
              <w:jc w:val="center"/>
              <w:rPr>
                <w:rFonts w:ascii="宋体" w:hAnsi="宋体" w:cs="宋体"/>
                <w:b/>
                <w:bCs/>
                <w:color w:val="auto"/>
                <w:kern w:val="0"/>
                <w:sz w:val="24"/>
                <w:szCs w:val="24"/>
              </w:rPr>
            </w:pPr>
            <w:r>
              <w:rPr>
                <w:rFonts w:hint="eastAsia" w:ascii="宋体" w:hAnsi="宋体" w:cs="宋体"/>
                <w:b/>
                <w:bCs/>
                <w:color w:val="auto"/>
                <w:kern w:val="0"/>
                <w:sz w:val="24"/>
                <w:szCs w:val="24"/>
              </w:rPr>
              <w:t>具体指标</w:t>
            </w:r>
          </w:p>
        </w:tc>
        <w:tc>
          <w:tcPr>
            <w:tcW w:w="939" w:type="dxa"/>
            <w:noWrap w:val="0"/>
            <w:vAlign w:val="center"/>
          </w:tcPr>
          <w:p>
            <w:pPr>
              <w:widowControl/>
              <w:spacing w:line="400" w:lineRule="exact"/>
              <w:jc w:val="center"/>
              <w:rPr>
                <w:rFonts w:ascii="宋体" w:hAnsi="宋体" w:cs="宋体"/>
                <w:b/>
                <w:bCs/>
                <w:color w:val="auto"/>
                <w:kern w:val="0"/>
                <w:sz w:val="24"/>
                <w:szCs w:val="24"/>
              </w:rPr>
            </w:pPr>
            <w:r>
              <w:rPr>
                <w:rFonts w:hint="eastAsia" w:ascii="宋体" w:hAnsi="宋体" w:cs="宋体"/>
                <w:b/>
                <w:bCs/>
                <w:color w:val="auto"/>
                <w:kern w:val="0"/>
                <w:sz w:val="24"/>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上年度竣工面积超过</w:t>
            </w:r>
            <w:r>
              <w:rPr>
                <w:rFonts w:ascii="宋体" w:hAnsi="宋体" w:cs="宋体"/>
                <w:color w:val="auto"/>
                <w:kern w:val="0"/>
                <w:sz w:val="24"/>
                <w:szCs w:val="24"/>
              </w:rPr>
              <w:t>30</w:t>
            </w:r>
            <w:r>
              <w:rPr>
                <w:rFonts w:hint="eastAsia" w:ascii="宋体" w:hAnsi="宋体" w:cs="宋体"/>
                <w:color w:val="auto"/>
                <w:kern w:val="0"/>
                <w:sz w:val="24"/>
                <w:szCs w:val="24"/>
              </w:rPr>
              <w:t>万平方米（含</w:t>
            </w:r>
            <w:r>
              <w:rPr>
                <w:rFonts w:ascii="宋体" w:hAnsi="宋体" w:cs="宋体"/>
                <w:color w:val="auto"/>
                <w:kern w:val="0"/>
                <w:sz w:val="24"/>
                <w:szCs w:val="24"/>
              </w:rPr>
              <w:t>30</w:t>
            </w:r>
            <w:r>
              <w:rPr>
                <w:rFonts w:hint="eastAsia" w:ascii="宋体" w:hAnsi="宋体" w:cs="宋体"/>
                <w:color w:val="auto"/>
                <w:kern w:val="0"/>
                <w:sz w:val="24"/>
                <w:szCs w:val="24"/>
              </w:rPr>
              <w:t>万平米）的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上年竣工面积在</w:t>
            </w:r>
            <w:r>
              <w:rPr>
                <w:rFonts w:ascii="宋体" w:hAnsi="宋体" w:cs="宋体"/>
                <w:color w:val="auto"/>
                <w:kern w:val="0"/>
                <w:sz w:val="24"/>
                <w:szCs w:val="24"/>
              </w:rPr>
              <w:t>15</w:t>
            </w:r>
            <w:r>
              <w:rPr>
                <w:rFonts w:hint="eastAsia" w:ascii="宋体" w:hAnsi="宋体" w:cs="宋体"/>
                <w:color w:val="auto"/>
                <w:kern w:val="0"/>
                <w:sz w:val="24"/>
                <w:szCs w:val="24"/>
              </w:rPr>
              <w:t>万平米以上（含</w:t>
            </w:r>
            <w:r>
              <w:rPr>
                <w:rFonts w:ascii="宋体" w:hAnsi="宋体" w:cs="宋体"/>
                <w:color w:val="auto"/>
                <w:kern w:val="0"/>
                <w:sz w:val="24"/>
                <w:szCs w:val="24"/>
              </w:rPr>
              <w:t>15</w:t>
            </w:r>
            <w:r>
              <w:rPr>
                <w:rFonts w:hint="eastAsia" w:ascii="宋体" w:hAnsi="宋体" w:cs="宋体"/>
                <w:color w:val="auto"/>
                <w:kern w:val="0"/>
                <w:sz w:val="24"/>
                <w:szCs w:val="24"/>
              </w:rPr>
              <w:t>万平米），</w:t>
            </w:r>
            <w:r>
              <w:rPr>
                <w:rFonts w:ascii="宋体" w:hAnsi="宋体" w:cs="宋体"/>
                <w:color w:val="auto"/>
                <w:kern w:val="0"/>
                <w:sz w:val="24"/>
                <w:szCs w:val="24"/>
              </w:rPr>
              <w:t>30</w:t>
            </w:r>
            <w:r>
              <w:rPr>
                <w:rFonts w:hint="eastAsia" w:ascii="宋体" w:hAnsi="宋体" w:cs="宋体"/>
                <w:color w:val="auto"/>
                <w:kern w:val="0"/>
                <w:sz w:val="24"/>
                <w:szCs w:val="24"/>
              </w:rPr>
              <w:t>万平方米以下的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上年竣工面积在</w:t>
            </w:r>
            <w:r>
              <w:rPr>
                <w:rFonts w:ascii="宋体" w:hAnsi="宋体" w:cs="宋体"/>
                <w:color w:val="auto"/>
                <w:kern w:val="0"/>
                <w:sz w:val="24"/>
                <w:szCs w:val="24"/>
              </w:rPr>
              <w:t>5</w:t>
            </w:r>
            <w:r>
              <w:rPr>
                <w:rFonts w:hint="eastAsia" w:ascii="宋体" w:hAnsi="宋体" w:cs="宋体"/>
                <w:color w:val="auto"/>
                <w:kern w:val="0"/>
                <w:sz w:val="24"/>
                <w:szCs w:val="24"/>
              </w:rPr>
              <w:t>万平方米以上（含</w:t>
            </w:r>
            <w:r>
              <w:rPr>
                <w:rFonts w:ascii="宋体" w:hAnsi="宋体" w:cs="宋体"/>
                <w:color w:val="auto"/>
                <w:kern w:val="0"/>
                <w:sz w:val="24"/>
                <w:szCs w:val="24"/>
              </w:rPr>
              <w:t>5</w:t>
            </w:r>
            <w:r>
              <w:rPr>
                <w:rFonts w:hint="eastAsia" w:ascii="宋体" w:hAnsi="宋体" w:cs="宋体"/>
                <w:color w:val="auto"/>
                <w:kern w:val="0"/>
                <w:sz w:val="24"/>
                <w:szCs w:val="24"/>
              </w:rPr>
              <w:t>万平米），</w:t>
            </w:r>
            <w:r>
              <w:rPr>
                <w:rFonts w:ascii="宋体" w:hAnsi="宋体" w:cs="宋体"/>
                <w:color w:val="auto"/>
                <w:kern w:val="0"/>
                <w:sz w:val="24"/>
                <w:szCs w:val="24"/>
              </w:rPr>
              <w:t>15</w:t>
            </w:r>
            <w:r>
              <w:rPr>
                <w:rFonts w:hint="eastAsia" w:ascii="宋体" w:hAnsi="宋体" w:cs="宋体"/>
                <w:color w:val="auto"/>
                <w:kern w:val="0"/>
                <w:sz w:val="24"/>
                <w:szCs w:val="24"/>
              </w:rPr>
              <w:t>万平方米以下的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4</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宋体" w:hAnsi="宋体"/>
                <w:color w:val="auto"/>
                <w:sz w:val="24"/>
                <w:szCs w:val="24"/>
              </w:rPr>
            </w:pPr>
            <w:r>
              <w:rPr>
                <w:rFonts w:hint="eastAsia" w:ascii="宋体" w:hAnsi="宋体"/>
                <w:color w:val="auto"/>
                <w:sz w:val="24"/>
                <w:szCs w:val="24"/>
              </w:rPr>
              <w:t>企业、经营项目获得住房和城乡建设部或其指导的国家级行业组织有关本行业表彰的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5</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olor w:val="auto"/>
                <w:sz w:val="24"/>
                <w:szCs w:val="24"/>
              </w:rPr>
            </w:pPr>
            <w:r>
              <w:rPr>
                <w:rFonts w:hint="eastAsia" w:ascii="宋体" w:hAnsi="宋体"/>
                <w:color w:val="auto"/>
                <w:sz w:val="24"/>
                <w:szCs w:val="24"/>
              </w:rPr>
              <w:t>企业、经营项目获得住房和城乡建设部所属机构（非法人单位）或其指导的国家级行业组织所属机构（非法人单位），及非本行业国家级行政部门有关本行业表彰的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6</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olor w:val="auto"/>
                <w:sz w:val="24"/>
                <w:szCs w:val="24"/>
              </w:rPr>
            </w:pPr>
            <w:r>
              <w:rPr>
                <w:rFonts w:hint="eastAsia" w:ascii="宋体" w:hAnsi="宋体"/>
                <w:color w:val="auto"/>
                <w:sz w:val="24"/>
                <w:szCs w:val="24"/>
              </w:rPr>
              <w:t>企业主要负责人或项目负责人获得住房和城乡建设部或其指导的国家级行业组织有关本行业表彰的（最多计2人）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7</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企业主要负责人或项目负责人获得住房和城乡建设部所属机构（非法人单位）或其指导的国家级行业组织所属机构（非法人单位），及非本行业国家级行政部门有关本行业表彰的（最多计2人）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8</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企业、经营项目获得省级房地产行政主管部门或其指导的省级行业组织评定为省级本行业优秀榜样的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9</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企业主要负责人获得省级房地产行政主管部门或其指导的省级行业组织评定为省级本行业优秀榜样的（最多计2人）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10</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宋体" w:hAnsi="宋体"/>
                <w:color w:val="auto"/>
                <w:sz w:val="24"/>
                <w:szCs w:val="24"/>
              </w:rPr>
            </w:pPr>
            <w:r>
              <w:rPr>
                <w:rFonts w:hint="eastAsia" w:ascii="宋体" w:hAnsi="宋体"/>
                <w:color w:val="auto"/>
                <w:sz w:val="24"/>
                <w:szCs w:val="24"/>
              </w:rPr>
              <w:t>企业、经营项目获得省级房地产行政主管部门或其指导的省级行业组织有关本行业表彰的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企业、经营项目获得省级房地产行政主管部门所属机构（非法人单位）或其指导的省级行业组织所属机构(非法人单位)，及非本行业省级行政部门有关本行业表彰的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12</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企业主要负责人获得省级房地产行政主管部门或其指导的省级行业组织有关本行业表彰的（最多计2人）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13</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企业主要负责人或项目负责人获得省级主管部门所属机构（非法人单位）或其指导的省级行业组织所属机构（非法人单位），及非本行业省级行政部门有关本行业表彰的（最多计2人）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14</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企业、经营项目获得市州（省直管县市）房地产行政主管部门或其指导的市州（省直管县市）行业组织有关本行业表彰的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15</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企业、经营项目获得市州（省直管县市）房地产行政主管部门所属机构（非法人单位）或其指导的市州（省直管县市）行业组织所属机构（非法人单位），及非本行业市级行政部门有关本行业表彰的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16</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企业主要负责人或项目负责人获得市州（省管县）房地产行政主管部门，或其指导的市州（省管县）行业组织有关本行业表彰的（最多计2人）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17</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主要负责人或项目经理获得市州（省管县）房地产行政主管部门所属机构（非法人单位），或其指导的市州（省管县）行业组织所属机构（非法人单位），及非本行业市级行政部门有关本行业表彰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18</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企业、经营项目获得县市区房地产行政主管部门或其指导的行业组织有关本行业表彰的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19</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企业、经营项目获得县市区房地产行政主管部门所属机构（非法人单位）或其指导的行业组织所属机构（非法人单位），及非本行业县市区级行政部门有关本行业表彰的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20</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企业主要负责人或项目负责人获得县市区主管部门，或其指导的行业组织有关本行业表彰的（最多计2人）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21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企业上年度被本行业国家级行政机关评定为本行业信用优秀的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22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企业上年度被本行业省级行政机关评定为本行业信用优秀的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23</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企业上年度被本行业市州及县市区级行政机关评定为本行业信用优秀的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24</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企业主要负责人及项目负责人被省级以上房地产行政主管部门或其指导的省级本行业组织评定为上年度信用优秀的（最多计2人）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25</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企业主要负责人及项目负责人被县市区级以上房地产行政主管部门评定为上年度信用优秀的（最多计2人）</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olor w:val="auto"/>
                <w:sz w:val="24"/>
                <w:szCs w:val="24"/>
              </w:rPr>
            </w:pPr>
            <w:r>
              <w:rPr>
                <w:rFonts w:hint="eastAsia" w:ascii="宋体" w:hAnsi="宋体"/>
                <w:color w:val="auto"/>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26</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宋体" w:hAnsi="宋体"/>
                <w:color w:val="auto"/>
                <w:sz w:val="24"/>
                <w:szCs w:val="24"/>
              </w:rPr>
            </w:pPr>
            <w:r>
              <w:rPr>
                <w:rFonts w:hint="eastAsia" w:ascii="宋体" w:hAnsi="宋体"/>
                <w:color w:val="auto"/>
                <w:sz w:val="24"/>
                <w:szCs w:val="24"/>
              </w:rPr>
              <w:t>企业或经营项目通过国家级行政机关、住房和城乡建设部指导的国家级行业组织本行业质量标准认证的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27</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宋体" w:hAnsi="宋体"/>
                <w:color w:val="auto"/>
                <w:sz w:val="24"/>
                <w:szCs w:val="24"/>
              </w:rPr>
            </w:pPr>
            <w:r>
              <w:rPr>
                <w:rFonts w:hint="eastAsia" w:ascii="宋体" w:hAnsi="宋体"/>
                <w:color w:val="auto"/>
                <w:sz w:val="24"/>
                <w:szCs w:val="24"/>
              </w:rPr>
              <w:t>企业或经营项目通过省级行政机关、省级房地产行政主管部门指导的省级行业组织本行业质量标准认证的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28</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企业或经营项目通过市州级行政机关、市级房地产行政主管部门指导的市级行业组织本行业质量标准认证的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29</w:t>
            </w:r>
          </w:p>
        </w:tc>
        <w:tc>
          <w:tcPr>
            <w:tcW w:w="8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落实国家和省政府组织实施的应急救灾、扶贫帮困等重大工作部署方面获得表彰奖励的</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30</w:t>
            </w:r>
          </w:p>
        </w:tc>
        <w:tc>
          <w:tcPr>
            <w:tcW w:w="80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落实市州（省管县）政府组织实施的促进房地产行业发展、以及应急救灾、捐款助学、扶贫帮困等重大工作部署获得表彰奖励的</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31</w:t>
            </w:r>
          </w:p>
        </w:tc>
        <w:tc>
          <w:tcPr>
            <w:tcW w:w="8043" w:type="dxa"/>
            <w:noWrap w:val="0"/>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olor w:val="auto"/>
                <w:sz w:val="24"/>
                <w:szCs w:val="24"/>
              </w:rPr>
            </w:pPr>
            <w:r>
              <w:rPr>
                <w:rFonts w:hint="eastAsia" w:ascii="宋体" w:hAnsi="宋体"/>
                <w:color w:val="auto"/>
                <w:sz w:val="24"/>
                <w:szCs w:val="24"/>
              </w:rPr>
              <w:t>落实县（市、区）政府组织实施的促进房地产行业发展、以及应急救灾、捐款助学、扶贫帮困等重大工作部署获得表彰奖励的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宋体"/>
                <w:color w:val="auto"/>
                <w:kern w:val="0"/>
                <w:sz w:val="24"/>
                <w:szCs w:val="24"/>
              </w:rPr>
            </w:pPr>
            <w:r>
              <w:rPr>
                <w:rFonts w:hint="eastAsia" w:ascii="宋体" w:hAnsi="宋体" w:cs="宋体"/>
                <w:color w:val="auto"/>
                <w:kern w:val="0"/>
                <w:sz w:val="24"/>
                <w:szCs w:val="24"/>
              </w:rPr>
              <w:t>32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宋体" w:hAnsi="宋体"/>
                <w:color w:val="auto"/>
                <w:sz w:val="24"/>
                <w:szCs w:val="24"/>
              </w:rPr>
            </w:pPr>
            <w:r>
              <w:rPr>
                <w:rFonts w:hint="eastAsia" w:ascii="宋体" w:hAnsi="宋体"/>
                <w:color w:val="auto"/>
                <w:sz w:val="24"/>
                <w:szCs w:val="24"/>
              </w:rPr>
              <w:t>法律、法规、规章、规范性文件、行业公约规定可以记入良好信用信息的其他信息</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3</w:t>
            </w:r>
            <w:r>
              <w:rPr>
                <w:rFonts w:hint="eastAsia" w:ascii="宋体" w:hAnsi="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9706" w:type="dxa"/>
            <w:gridSpan w:val="3"/>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备注：1、良好信用记录有效期为1年，表彰、奖励文件有规定的从其规定。</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2、良好信用记录同一事项以获得的最高奖励标准计分一次；除本标准有规定外，企业所管不同项目、不同人员因同一事项获得的表彰奖励加分最多计2次。</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706" w:type="dxa"/>
            <w:gridSpan w:val="3"/>
            <w:noWrap w:val="0"/>
            <w:vAlign w:val="center"/>
          </w:tcPr>
          <w:p>
            <w:pPr>
              <w:widowControl/>
              <w:spacing w:line="400" w:lineRule="exact"/>
              <w:jc w:val="center"/>
              <w:rPr>
                <w:rFonts w:ascii="宋体" w:hAnsi="宋体" w:cs="宋体"/>
                <w:b/>
                <w:color w:val="auto"/>
                <w:kern w:val="0"/>
                <w:sz w:val="24"/>
                <w:szCs w:val="24"/>
              </w:rPr>
            </w:pPr>
            <w:r>
              <w:rPr>
                <w:rFonts w:hint="eastAsia" w:ascii="宋体" w:hAnsi="宋体" w:cs="宋体"/>
                <w:b/>
                <w:color w:val="auto"/>
                <w:kern w:val="0"/>
                <w:sz w:val="24"/>
                <w:szCs w:val="24"/>
              </w:rPr>
              <w:t>扣分信用记录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rPr>
            </w:pPr>
            <w:r>
              <w:rPr>
                <w:rFonts w:hint="eastAsia" w:ascii="宋体" w:hAnsi="宋体" w:cs="宋体"/>
                <w:b/>
                <w:bCs/>
                <w:color w:val="auto"/>
                <w:kern w:val="0"/>
                <w:sz w:val="24"/>
                <w:szCs w:val="24"/>
              </w:rPr>
              <w:t>序列</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rPr>
            </w:pPr>
            <w:r>
              <w:rPr>
                <w:rFonts w:hint="eastAsia" w:ascii="宋体" w:hAnsi="宋体" w:cs="宋体"/>
                <w:b/>
                <w:bCs/>
                <w:color w:val="auto"/>
                <w:kern w:val="0"/>
                <w:sz w:val="24"/>
                <w:szCs w:val="24"/>
              </w:rPr>
              <w:t>具体指标</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rPr>
            </w:pPr>
            <w:r>
              <w:rPr>
                <w:rFonts w:hint="eastAsia" w:ascii="宋体" w:hAnsi="宋体" w:cs="宋体"/>
                <w:b/>
                <w:bCs/>
                <w:color w:val="auto"/>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企业专职管理技术人员未按相关规定参加房地产行政主管部门指导的行业组织开展的业务研讨学习的（每出现一例扣1分，扣完为止）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企业主要负责人或项目负责人上年度信用状况被房地产行政主管部门指导的省级房地产行业组织评为信用较差的（每出现一人扣1分，扣完为止）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3</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未如实在湖南省房地产市场监管平台或湖南省房地产行业组织信用管理平台申报数据半年以内的（含半年，按月报计算，每出现一期扣1分，扣完为止）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4</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未按要求参加各级房地产行政主管部门和房地产行政主管部门指导的行业组织开展的重要会议、重大活动的（每出现一例扣2分，扣完为止）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5</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未按时在湖南省房地产市场监管平台或湖南省房地产行业组织信用管理平台申报数据半年以内的（含半年，按月报计算，每出现一期扣2分，扣完为止）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6</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企业办公地址、电话、股东、资质等级、关联企业等重要信息发生变化，不及时在省房地产市场监管平台或湖南省房地产行业组织信用管理平台中予以相关信息变更，或故意填报虚假信息的（每出现一例扣2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7</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房地产开发项目更换项目负责人，在一个月内未及时通过省房地产市场监管平台或湖南省房地产行业组织信用信息平台申报变更登记的（每出现一例扣1分，扣完为止）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8</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企业专职管理技术人员劳动关系发生变动时，未在省房地产市场监管平台或湖南省房地产行业组织信用管理平台及时更新信息，办理变更、注销手续出现兼职行为的（每出现一例扣2分，扣完为止）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9</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在商品房交易和产权转移过程中不按规定明码标价或使用虚假、模糊的价格标示误导消费者；以高于明码标价所标示的价格销售或加收任何未予标明的费用；将应在商品房销售价格包含的成本（费用）改为在价外另行收取的（每出现一例扣2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发布虚假广告、信息或者恶意炒作、炒卖房号、扰乱市场秩序的（每出现一例扣2分，扣完为止）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未按规定对物业服务用房的所有权申请初始登记的（每出现一例扣2分，扣完为止）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拖欠劳动报酬、社会保险、银行贷款、合同款等金额较少，但未经各级行政机关行政处罚、且无主观恶意的记录（每出现一例扣2分，扣完为止）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13</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企业对投诉和信访事件，未按各级房地产行政主管部门和其指导的行业组织要求进行及时有效解决的（每出现一例扣3分，扣完为止）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14</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违反房地产行政主管部门指导的行业组织制定的行业组织章程、行业公约、未按要求履行会员义务的（每出现一例扣5分，扣完为止）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15</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不配合房地产行政主管部门指导的行业组织开展行业自律检查工作的（每出现一例扣5分，扣完为止）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16</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发生违规行为被非主管行政机关适用一般程序处罚但及时予以整改的记录（每出现一例扣5分，扣完为止）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17</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其它未遵守相关规定，无主观意识且情节较轻的行为（每出现一例扣2-5分，扣完为止）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706" w:type="dxa"/>
            <w:gridSpan w:val="3"/>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color w:val="auto"/>
                <w:kern w:val="0"/>
                <w:sz w:val="24"/>
                <w:szCs w:val="24"/>
              </w:rPr>
            </w:pPr>
            <w:r>
              <w:rPr>
                <w:rFonts w:hint="eastAsia" w:ascii="宋体" w:hAnsi="宋体" w:cs="宋体"/>
                <w:b/>
                <w:color w:val="auto"/>
                <w:kern w:val="0"/>
                <w:sz w:val="24"/>
                <w:szCs w:val="24"/>
              </w:rPr>
              <w:t>提示信用记录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rPr>
            </w:pPr>
            <w:r>
              <w:rPr>
                <w:rFonts w:hint="eastAsia" w:ascii="宋体" w:hAnsi="宋体" w:cs="宋体"/>
                <w:b/>
                <w:bCs/>
                <w:color w:val="auto"/>
                <w:kern w:val="0"/>
                <w:sz w:val="24"/>
                <w:szCs w:val="24"/>
              </w:rPr>
              <w:t>序列</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rPr>
            </w:pPr>
            <w:r>
              <w:rPr>
                <w:rFonts w:hint="eastAsia" w:ascii="宋体" w:hAnsi="宋体" w:cs="宋体"/>
                <w:b/>
                <w:bCs/>
                <w:color w:val="auto"/>
                <w:kern w:val="0"/>
                <w:sz w:val="24"/>
                <w:szCs w:val="24"/>
              </w:rPr>
              <w:t>具体指标</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rPr>
            </w:pPr>
            <w:r>
              <w:rPr>
                <w:rFonts w:hint="eastAsia" w:ascii="宋体" w:hAnsi="宋体" w:cs="宋体"/>
                <w:b/>
                <w:bCs/>
                <w:color w:val="auto"/>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企业或企业法定代表人上年度被市州级以上房地产行政主管部门</w:t>
            </w:r>
            <w:r>
              <w:rPr>
                <w:rFonts w:hint="eastAsia" w:ascii="宋体" w:hAnsi="宋体"/>
                <w:color w:val="auto"/>
                <w:sz w:val="24"/>
                <w:szCs w:val="24"/>
              </w:rPr>
              <w:t>及其指导的</w:t>
            </w:r>
            <w:r>
              <w:rPr>
                <w:rFonts w:hint="eastAsia" w:ascii="宋体" w:hAnsi="宋体" w:cs="宋体"/>
                <w:color w:val="auto"/>
                <w:kern w:val="0"/>
                <w:sz w:val="24"/>
                <w:szCs w:val="24"/>
              </w:rPr>
              <w:t>行业组织评定为信用较差的（每出现一例扣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未按时在湖南省房地产市场监管平台或湖南省房地产行业组织信用管理平台申报数据半年以上的（按月报计算，每出现一期扣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工商登记内容发生变更（含企业名称、工商注册号</w:t>
            </w:r>
            <w:r>
              <w:rPr>
                <w:rFonts w:ascii="宋体" w:hAnsi="宋体" w:cs="宋体"/>
                <w:color w:val="auto"/>
                <w:kern w:val="0"/>
                <w:sz w:val="24"/>
                <w:szCs w:val="24"/>
              </w:rPr>
              <w:t>/</w:t>
            </w:r>
            <w:r>
              <w:rPr>
                <w:rFonts w:hint="eastAsia" w:ascii="宋体" w:hAnsi="宋体" w:cs="宋体"/>
                <w:color w:val="auto"/>
                <w:kern w:val="0"/>
                <w:sz w:val="24"/>
                <w:szCs w:val="24"/>
              </w:rPr>
              <w:t>统一社会信用代码、法定代表人、企业住所、企业注册资金等相关信息），在一个月内未及时通过省房地产市场监管平台申报变更登记的（每出现一例扣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4</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在办理相关业务时，签定了承诺书而不履行承诺的（每出现一例扣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5</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企业被税务机关认定为“非正常户”，并且该企业存在欠税、发票结存或稽查在案的记录（每出现一例扣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6</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不依法签订或履行劳动合同、开展集体协商、签订和履行集体合同的记录（每出现一例扣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7</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未按土地出让合同约定配建保障性住房的（每出现一例扣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8</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未取得商品房预售许可证，开展认购（包括认订、登记、选号、发放</w:t>
            </w:r>
            <w:r>
              <w:rPr>
                <w:rFonts w:ascii="宋体" w:hAnsi="宋体" w:cs="宋体"/>
                <w:color w:val="auto"/>
                <w:kern w:val="0"/>
                <w:sz w:val="24"/>
                <w:szCs w:val="24"/>
              </w:rPr>
              <w:t>VIP</w:t>
            </w:r>
            <w:r>
              <w:rPr>
                <w:rFonts w:hint="eastAsia" w:ascii="宋体" w:hAnsi="宋体" w:cs="宋体"/>
                <w:color w:val="auto"/>
                <w:kern w:val="0"/>
                <w:sz w:val="24"/>
                <w:szCs w:val="24"/>
              </w:rPr>
              <w:t>卡等）活动，收取预定款等各种形式变相预售商品房的（每出现一例扣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9</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订立合同前未向购房人明示《商品房销售管理办法》和《商品房买卖合同示范文本》，现场未公布所售房屋的能源消耗指标、节能措施和保护要求、保温隔热工程保修期等信息的（每出现一例扣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10</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在制定商品房销售合同格式条款时，免除自己责任、加重购房人责任，或排除购房人合法权利的（每出现一例扣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未按规定实行网上合同签约备案的（每出现一例扣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委托未在当地备案的经纪机构代理销售商品房的（每出现一例扣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13</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未按合同要求交房的（每出现一例扣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14</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未按规定提供住宅质量保证书和住宅使用说明书的（每出现一例扣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15</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未按要求向业主、业主大会或物业服务企业移交房屋有关资料的（每出现一例扣</w:t>
            </w:r>
            <w:r>
              <w:rPr>
                <w:rFonts w:ascii="宋体" w:hAnsi="宋体" w:cs="宋体"/>
                <w:color w:val="auto"/>
                <w:kern w:val="0"/>
                <w:sz w:val="24"/>
                <w:szCs w:val="24"/>
              </w:rPr>
              <w:t>3</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16</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未按要求委托物业服务企业进行前期物业管理的（每出现一例扣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17</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前期物业服务合同未按《湖南省物业行业服务标准等级评定办法》约定服务等级的（每出现一例扣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18</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未按要求配置物业管理用房、擅自处分属于业主的物业共用部位、共用设施设备的所有权或者使用权的（每出现一例扣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19</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采取返本销售或变相返本销售商品房、售后包租或变相售后包租销售未竣工商品房的（每出现一例扣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20</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在工程发包、委托监理单位中未按各级行政机关要求实施相关要求、标准、规范、措施的（每出现一例扣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21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将未经验收合格的或将验收不合格的房屋交付使用的（每出现一例扣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rPr>
            </w:pPr>
            <w:r>
              <w:rPr>
                <w:rFonts w:ascii="宋体" w:hAnsi="宋体" w:cs="宋体"/>
                <w:bCs/>
                <w:color w:val="auto"/>
                <w:kern w:val="0"/>
                <w:sz w:val="24"/>
                <w:szCs w:val="24"/>
              </w:rPr>
              <w:t>22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恶意拖欠工程款引发群体性上访的（每出现一例扣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23</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未及时到各级房地产行政主管部门办理验证、换证、备案、注销、撤销、变更等记录的（每出现一例扣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24</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未按各级房地产行政主管部门要求实施相关标准、规范、措施等记录（每出现一例扣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25</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发生一般产品质量安全或生产安全事故，经各级房地产行政主管部门、省级本行业组织认定的记录（每出现一例扣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26</w:t>
            </w:r>
          </w:p>
        </w:tc>
        <w:tc>
          <w:tcPr>
            <w:tcW w:w="8043"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受到较大数额罚款、没收违法所得、没收非法财务或被房地产行政主管部门责令停产停业等行政处罚的记录（每出现一例扣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27</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因违法行为被房地产行政主管部门适用一般程序处罚的记录（每出现一例扣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28</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发生违法违规行为被非主管行政机关行政处罚的记录（每出现一例扣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29</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违反行业法律、法规、规章、规范性文件，</w:t>
            </w:r>
            <w:r>
              <w:rPr>
                <w:rFonts w:hint="eastAsia" w:ascii="宋体" w:hAnsi="宋体"/>
                <w:color w:val="auto"/>
                <w:sz w:val="24"/>
                <w:szCs w:val="24"/>
              </w:rPr>
              <w:t>房地产行政主管部门指导的行业组织发布的</w:t>
            </w:r>
            <w:r>
              <w:rPr>
                <w:rFonts w:hint="eastAsia" w:ascii="宋体" w:hAnsi="宋体" w:cs="宋体"/>
                <w:color w:val="auto"/>
                <w:kern w:val="0"/>
                <w:sz w:val="24"/>
                <w:szCs w:val="24"/>
              </w:rPr>
              <w:t>行业公约规定可以计入提示信用信息的其他信息记录（每出现一例扣</w:t>
            </w:r>
            <w:r>
              <w:rPr>
                <w:rFonts w:ascii="宋体" w:hAnsi="宋体" w:cs="宋体"/>
                <w:color w:val="auto"/>
                <w:kern w:val="0"/>
                <w:sz w:val="24"/>
                <w:szCs w:val="24"/>
              </w:rPr>
              <w:t>5</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706" w:type="dxa"/>
            <w:gridSpan w:val="3"/>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color w:val="auto"/>
                <w:kern w:val="0"/>
                <w:sz w:val="24"/>
                <w:szCs w:val="24"/>
              </w:rPr>
            </w:pPr>
            <w:r>
              <w:rPr>
                <w:rFonts w:hint="eastAsia" w:ascii="宋体" w:hAnsi="宋体" w:cs="宋体"/>
                <w:b/>
                <w:color w:val="auto"/>
                <w:kern w:val="0"/>
                <w:sz w:val="24"/>
                <w:szCs w:val="24"/>
              </w:rPr>
              <w:t>警示信用记录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rPr>
            </w:pPr>
            <w:r>
              <w:rPr>
                <w:rFonts w:hint="eastAsia" w:ascii="宋体" w:hAnsi="宋体" w:cs="宋体"/>
                <w:b/>
                <w:bCs/>
                <w:color w:val="auto"/>
                <w:kern w:val="0"/>
                <w:sz w:val="24"/>
                <w:szCs w:val="24"/>
              </w:rPr>
              <w:t>序列</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rPr>
            </w:pPr>
            <w:r>
              <w:rPr>
                <w:rFonts w:hint="eastAsia" w:ascii="宋体" w:hAnsi="宋体" w:cs="宋体"/>
                <w:b/>
                <w:bCs/>
                <w:color w:val="auto"/>
                <w:kern w:val="0"/>
                <w:sz w:val="24"/>
                <w:szCs w:val="24"/>
              </w:rPr>
              <w:t>具体指标</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rPr>
            </w:pPr>
            <w:r>
              <w:rPr>
                <w:rFonts w:hint="eastAsia" w:ascii="宋体" w:hAnsi="宋体" w:cs="宋体"/>
                <w:b/>
                <w:bCs/>
                <w:color w:val="auto"/>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未按住建部资质管理规定办理资质延期的</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违反城乡规划许可、建设工程施工许可、商品房预售许可，受到行政机关处罚的（每出现一例扣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在商品房交易中一房多卖，损害购房人合法权益的（每出现一例扣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4</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超越资质等级承担房地产开发项目，被县级以上地方人民政府房地产开发主管部门责令限期改正的（每出现一例扣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5</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开发项目质量低劣引发工程质量事故，被县级以上地方人民政府房地产开发主管部门处罚的（每出现一例扣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6</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未通过房地产行政主管部门依法进行的专项或者定期检验的记录（每出现一例扣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7</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因违法行为被房地产行政主管部门撤销或者吊销许可证的记录（每出现一例扣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8</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被房地产行政主管部门依法认定违法开展关联交易或者违规担保的记录（每出现一例扣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9</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法院纳入失信被执行人名单的记录</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10</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被追究刑事责任的记录（每出现一例扣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11</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在向房地产行政主管部门申请行政审批等事项以及公证和法律服务中提供虚假材料、弄虚作假的行为（每出现一例扣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12</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在招投标活动中，有围标、串标等违法行为，受到行政机关处罚的记录（每出现一例扣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13</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未按及时履行法定责任，发生较大及以上工程质量、安全责任事故，造成业主或使用人群体持续上访的记录（每出现一例扣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14</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企业被处以本行业禁入处罚的记录</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15</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利用非法手段获取公民、法人和其他组织的信息用于经营活动的记录（每出现一例扣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16</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被市级以上人民政府或省级以上行政机关通报或曝光的记录（每出现一例扣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17</w:t>
            </w:r>
          </w:p>
        </w:tc>
        <w:tc>
          <w:tcPr>
            <w:tcW w:w="8043"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olor w:val="auto"/>
                <w:sz w:val="24"/>
                <w:szCs w:val="24"/>
              </w:rPr>
            </w:pPr>
            <w:r>
              <w:rPr>
                <w:rFonts w:ascii="宋体" w:hAnsi="宋体" w:cs="宋体"/>
                <w:color w:val="auto"/>
                <w:kern w:val="0"/>
                <w:sz w:val="24"/>
                <w:szCs w:val="24"/>
              </w:rPr>
              <w:t>3</w:t>
            </w:r>
            <w:r>
              <w:rPr>
                <w:rFonts w:hint="eastAsia" w:ascii="宋体" w:hAnsi="宋体" w:cs="宋体"/>
                <w:color w:val="auto"/>
                <w:kern w:val="0"/>
                <w:sz w:val="24"/>
                <w:szCs w:val="24"/>
              </w:rPr>
              <w:t>年内因同一类违法行为受到</w:t>
            </w:r>
            <w:r>
              <w:rPr>
                <w:rFonts w:ascii="宋体" w:hAnsi="宋体" w:cs="宋体"/>
                <w:color w:val="auto"/>
                <w:kern w:val="0"/>
                <w:sz w:val="24"/>
                <w:szCs w:val="24"/>
              </w:rPr>
              <w:t>2</w:t>
            </w:r>
            <w:r>
              <w:rPr>
                <w:rFonts w:hint="eastAsia" w:ascii="宋体" w:hAnsi="宋体" w:cs="宋体"/>
                <w:color w:val="auto"/>
                <w:kern w:val="0"/>
                <w:sz w:val="24"/>
                <w:szCs w:val="24"/>
              </w:rPr>
              <w:t>次以上较大数额罚款、没收违法所得、没收非法财物或被房地产行政主管部门责令停产停业等行政处罚的记录（每出现一例扣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18</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拒不执行已生效司法裁决、行政处罚、行政强制的（每出现一例扣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19</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企业法定代表人或主要负责人及其他高级管理人员的下列失信信息的（每出现一例扣</w:t>
            </w:r>
            <w:r>
              <w:rPr>
                <w:rFonts w:ascii="宋体" w:hAnsi="宋体" w:cs="宋体"/>
                <w:color w:val="auto"/>
                <w:kern w:val="0"/>
                <w:sz w:val="24"/>
                <w:szCs w:val="24"/>
              </w:rPr>
              <w:t>10</w:t>
            </w:r>
            <w:r>
              <w:rPr>
                <w:rFonts w:hint="eastAsia" w:ascii="宋体" w:hAnsi="宋体" w:cs="宋体"/>
                <w:color w:val="auto"/>
                <w:kern w:val="0"/>
                <w:sz w:val="24"/>
                <w:szCs w:val="24"/>
              </w:rPr>
              <w:t>分，扣完为止）：</w:t>
            </w:r>
            <w:r>
              <w:rPr>
                <w:rFonts w:ascii="宋体" w:hAnsi="宋体" w:cs="宋体"/>
                <w:color w:val="auto"/>
                <w:kern w:val="0"/>
                <w:sz w:val="24"/>
                <w:szCs w:val="24"/>
              </w:rPr>
              <w:br w:type="textWrapping"/>
            </w:r>
            <w:r>
              <w:rPr>
                <w:rFonts w:hint="eastAsia" w:ascii="宋体" w:hAnsi="宋体" w:cs="宋体"/>
                <w:color w:val="auto"/>
                <w:kern w:val="0"/>
                <w:sz w:val="24"/>
                <w:szCs w:val="24"/>
              </w:rPr>
              <w:t>　　（</w:t>
            </w:r>
            <w:r>
              <w:rPr>
                <w:rFonts w:ascii="宋体" w:hAnsi="宋体" w:cs="宋体"/>
                <w:color w:val="auto"/>
                <w:kern w:val="0"/>
                <w:sz w:val="24"/>
                <w:szCs w:val="24"/>
              </w:rPr>
              <w:t>1</w:t>
            </w:r>
            <w:r>
              <w:rPr>
                <w:rFonts w:hint="eastAsia" w:ascii="宋体" w:hAnsi="宋体" w:cs="宋体"/>
                <w:color w:val="auto"/>
                <w:kern w:val="0"/>
                <w:sz w:val="24"/>
                <w:szCs w:val="24"/>
              </w:rPr>
              <w:t>）正在被执行刑罚的；</w:t>
            </w:r>
            <w:r>
              <w:rPr>
                <w:rFonts w:ascii="宋体" w:hAnsi="宋体" w:cs="宋体"/>
                <w:color w:val="auto"/>
                <w:kern w:val="0"/>
                <w:sz w:val="24"/>
                <w:szCs w:val="24"/>
              </w:rPr>
              <w:br w:type="textWrapping"/>
            </w:r>
            <w:r>
              <w:rPr>
                <w:rFonts w:hint="eastAsia" w:ascii="宋体" w:hAnsi="宋体" w:cs="宋体"/>
                <w:color w:val="auto"/>
                <w:kern w:val="0"/>
                <w:sz w:val="24"/>
                <w:szCs w:val="24"/>
              </w:rPr>
              <w:t>　　（</w:t>
            </w:r>
            <w:r>
              <w:rPr>
                <w:rFonts w:ascii="宋体" w:hAnsi="宋体" w:cs="宋体"/>
                <w:color w:val="auto"/>
                <w:kern w:val="0"/>
                <w:sz w:val="24"/>
                <w:szCs w:val="24"/>
              </w:rPr>
              <w:t>2</w:t>
            </w:r>
            <w:r>
              <w:rPr>
                <w:rFonts w:hint="eastAsia" w:ascii="宋体" w:hAnsi="宋体" w:cs="宋体"/>
                <w:color w:val="auto"/>
                <w:kern w:val="0"/>
                <w:sz w:val="24"/>
                <w:szCs w:val="24"/>
              </w:rPr>
              <w:t>）因犯罪被判处刑罚，执行期满未逾</w:t>
            </w:r>
            <w:r>
              <w:rPr>
                <w:rFonts w:ascii="宋体" w:hAnsi="宋体" w:cs="宋体"/>
                <w:color w:val="auto"/>
                <w:kern w:val="0"/>
                <w:sz w:val="24"/>
                <w:szCs w:val="24"/>
              </w:rPr>
              <w:t>5</w:t>
            </w:r>
            <w:r>
              <w:rPr>
                <w:rFonts w:hint="eastAsia" w:ascii="宋体" w:hAnsi="宋体" w:cs="宋体"/>
                <w:color w:val="auto"/>
                <w:kern w:val="0"/>
                <w:sz w:val="24"/>
                <w:szCs w:val="24"/>
              </w:rPr>
              <w:t>年的；</w:t>
            </w:r>
            <w:r>
              <w:rPr>
                <w:rFonts w:ascii="宋体" w:hAnsi="宋体" w:cs="宋体"/>
                <w:color w:val="auto"/>
                <w:kern w:val="0"/>
                <w:sz w:val="24"/>
                <w:szCs w:val="24"/>
              </w:rPr>
              <w:br w:type="textWrapping"/>
            </w:r>
            <w:r>
              <w:rPr>
                <w:rFonts w:hint="eastAsia" w:ascii="宋体" w:hAnsi="宋体" w:cs="宋体"/>
                <w:color w:val="auto"/>
                <w:kern w:val="0"/>
                <w:sz w:val="24"/>
                <w:szCs w:val="24"/>
              </w:rPr>
              <w:t>　　（</w:t>
            </w:r>
            <w:r>
              <w:rPr>
                <w:rFonts w:ascii="宋体" w:hAnsi="宋体" w:cs="宋体"/>
                <w:color w:val="auto"/>
                <w:kern w:val="0"/>
                <w:sz w:val="24"/>
                <w:szCs w:val="24"/>
              </w:rPr>
              <w:t>3</w:t>
            </w:r>
            <w:r>
              <w:rPr>
                <w:rFonts w:hint="eastAsia" w:ascii="宋体" w:hAnsi="宋体" w:cs="宋体"/>
                <w:color w:val="auto"/>
                <w:kern w:val="0"/>
                <w:sz w:val="24"/>
                <w:szCs w:val="24"/>
              </w:rPr>
              <w:t>）担任因经营不善破产清算的企业法定代表人或主要负责人，并对该企业破产负有个人责任，自该企业破产清算完结之日起未满</w:t>
            </w:r>
            <w:r>
              <w:rPr>
                <w:rFonts w:ascii="宋体" w:hAnsi="宋体" w:cs="宋体"/>
                <w:color w:val="auto"/>
                <w:kern w:val="0"/>
                <w:sz w:val="24"/>
                <w:szCs w:val="24"/>
              </w:rPr>
              <w:t>3</w:t>
            </w:r>
            <w:r>
              <w:rPr>
                <w:rFonts w:hint="eastAsia" w:ascii="宋体" w:hAnsi="宋体" w:cs="宋体"/>
                <w:color w:val="auto"/>
                <w:kern w:val="0"/>
                <w:sz w:val="24"/>
                <w:szCs w:val="24"/>
              </w:rPr>
              <w:t>年的；</w:t>
            </w:r>
            <w:r>
              <w:rPr>
                <w:rFonts w:ascii="宋体" w:hAnsi="宋体" w:cs="宋体"/>
                <w:color w:val="auto"/>
                <w:kern w:val="0"/>
                <w:sz w:val="24"/>
                <w:szCs w:val="24"/>
              </w:rPr>
              <w:br w:type="textWrapping"/>
            </w:r>
            <w:r>
              <w:rPr>
                <w:rFonts w:hint="eastAsia" w:ascii="宋体" w:hAnsi="宋体" w:cs="宋体"/>
                <w:color w:val="auto"/>
                <w:kern w:val="0"/>
                <w:sz w:val="24"/>
                <w:szCs w:val="24"/>
              </w:rPr>
              <w:t>　　（</w:t>
            </w:r>
            <w:r>
              <w:rPr>
                <w:rFonts w:ascii="宋体" w:hAnsi="宋体" w:cs="宋体"/>
                <w:color w:val="auto"/>
                <w:kern w:val="0"/>
                <w:sz w:val="24"/>
                <w:szCs w:val="24"/>
              </w:rPr>
              <w:t>4</w:t>
            </w:r>
            <w:r>
              <w:rPr>
                <w:rFonts w:hint="eastAsia" w:ascii="宋体" w:hAnsi="宋体" w:cs="宋体"/>
                <w:color w:val="auto"/>
                <w:kern w:val="0"/>
                <w:sz w:val="24"/>
                <w:szCs w:val="24"/>
              </w:rPr>
              <w:t>）担任因违法被吊销营业执照的企业法定代表人或主要负责人，并负有个人责任，自该企业被吊销营业执照之日起未满</w:t>
            </w:r>
            <w:r>
              <w:rPr>
                <w:rFonts w:ascii="宋体" w:hAnsi="宋体" w:cs="宋体"/>
                <w:color w:val="auto"/>
                <w:kern w:val="0"/>
                <w:sz w:val="24"/>
                <w:szCs w:val="24"/>
              </w:rPr>
              <w:t>3</w:t>
            </w:r>
            <w:r>
              <w:rPr>
                <w:rFonts w:hint="eastAsia" w:ascii="宋体" w:hAnsi="宋体" w:cs="宋体"/>
                <w:color w:val="auto"/>
                <w:kern w:val="0"/>
                <w:sz w:val="24"/>
                <w:szCs w:val="24"/>
              </w:rPr>
              <w:t>年的；</w:t>
            </w:r>
            <w:r>
              <w:rPr>
                <w:rFonts w:ascii="宋体" w:hAnsi="宋体" w:cs="宋体"/>
                <w:color w:val="auto"/>
                <w:kern w:val="0"/>
                <w:sz w:val="24"/>
                <w:szCs w:val="24"/>
              </w:rPr>
              <w:br w:type="textWrapping"/>
            </w:r>
            <w:r>
              <w:rPr>
                <w:rFonts w:hint="eastAsia" w:ascii="宋体" w:hAnsi="宋体" w:cs="宋体"/>
                <w:color w:val="auto"/>
                <w:kern w:val="0"/>
                <w:sz w:val="24"/>
                <w:szCs w:val="24"/>
              </w:rPr>
              <w:t>　　（</w:t>
            </w:r>
            <w:r>
              <w:rPr>
                <w:rFonts w:ascii="宋体" w:hAnsi="宋体" w:cs="宋体"/>
                <w:color w:val="auto"/>
                <w:kern w:val="0"/>
                <w:sz w:val="24"/>
                <w:szCs w:val="24"/>
              </w:rPr>
              <w:t>5</w:t>
            </w:r>
            <w:r>
              <w:rPr>
                <w:rFonts w:hint="eastAsia" w:ascii="宋体" w:hAnsi="宋体" w:cs="宋体"/>
                <w:color w:val="auto"/>
                <w:kern w:val="0"/>
                <w:sz w:val="24"/>
                <w:szCs w:val="24"/>
              </w:rPr>
              <w:t>）被处以行业禁入处罚，禁入期限届满后未满</w:t>
            </w:r>
            <w:r>
              <w:rPr>
                <w:rFonts w:ascii="宋体" w:hAnsi="宋体" w:cs="宋体"/>
                <w:color w:val="auto"/>
                <w:kern w:val="0"/>
                <w:sz w:val="24"/>
                <w:szCs w:val="24"/>
              </w:rPr>
              <w:t>3</w:t>
            </w:r>
            <w:r>
              <w:rPr>
                <w:rFonts w:hint="eastAsia" w:ascii="宋体" w:hAnsi="宋体" w:cs="宋体"/>
                <w:color w:val="auto"/>
                <w:kern w:val="0"/>
                <w:sz w:val="24"/>
                <w:szCs w:val="24"/>
              </w:rPr>
              <w:t>年的；</w:t>
            </w:r>
            <w:r>
              <w:rPr>
                <w:rFonts w:ascii="宋体" w:hAnsi="宋体" w:cs="宋体"/>
                <w:color w:val="auto"/>
                <w:kern w:val="0"/>
                <w:sz w:val="24"/>
                <w:szCs w:val="24"/>
              </w:rPr>
              <w:br w:type="textWrapping"/>
            </w:r>
            <w:r>
              <w:rPr>
                <w:rFonts w:hint="eastAsia" w:ascii="宋体" w:hAnsi="宋体" w:cs="宋体"/>
                <w:color w:val="auto"/>
                <w:kern w:val="0"/>
                <w:sz w:val="24"/>
                <w:szCs w:val="24"/>
              </w:rPr>
              <w:t>　　（</w:t>
            </w:r>
            <w:r>
              <w:rPr>
                <w:rFonts w:ascii="宋体" w:hAnsi="宋体" w:cs="宋体"/>
                <w:color w:val="auto"/>
                <w:kern w:val="0"/>
                <w:sz w:val="24"/>
                <w:szCs w:val="24"/>
              </w:rPr>
              <w:t>6</w:t>
            </w:r>
            <w:r>
              <w:rPr>
                <w:rFonts w:hint="eastAsia" w:ascii="宋体" w:hAnsi="宋体" w:cs="宋体"/>
                <w:color w:val="auto"/>
                <w:kern w:val="0"/>
                <w:sz w:val="24"/>
                <w:szCs w:val="24"/>
              </w:rPr>
              <w:t>）企业存在未执结的债务，根据当事人的申请，人民法院作出限制其法定代表人或主要负责人及其他高级管理人员出境的；</w:t>
            </w:r>
            <w:r>
              <w:rPr>
                <w:rFonts w:ascii="宋体" w:hAnsi="宋体" w:cs="宋体"/>
                <w:color w:val="auto"/>
                <w:kern w:val="0"/>
                <w:sz w:val="24"/>
                <w:szCs w:val="24"/>
              </w:rPr>
              <w:br w:type="textWrapping"/>
            </w:r>
            <w:r>
              <w:rPr>
                <w:rFonts w:hint="eastAsia" w:ascii="宋体" w:hAnsi="宋体" w:cs="宋体"/>
                <w:color w:val="auto"/>
                <w:kern w:val="0"/>
                <w:sz w:val="24"/>
                <w:szCs w:val="24"/>
              </w:rPr>
              <w:t>　　（</w:t>
            </w:r>
            <w:r>
              <w:rPr>
                <w:rFonts w:ascii="宋体" w:hAnsi="宋体" w:cs="宋体"/>
                <w:color w:val="auto"/>
                <w:kern w:val="0"/>
                <w:sz w:val="24"/>
                <w:szCs w:val="24"/>
              </w:rPr>
              <w:t>7</w:t>
            </w:r>
            <w:r>
              <w:rPr>
                <w:rFonts w:hint="eastAsia" w:ascii="宋体" w:hAnsi="宋体" w:cs="宋体"/>
                <w:color w:val="auto"/>
                <w:kern w:val="0"/>
                <w:sz w:val="24"/>
                <w:szCs w:val="24"/>
              </w:rPr>
              <w:t>）法律、法规、规章等规定的其他情形。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20</w:t>
            </w:r>
          </w:p>
        </w:tc>
        <w:tc>
          <w:tcPr>
            <w:tcW w:w="804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rPr>
            </w:pPr>
            <w:r>
              <w:rPr>
                <w:rFonts w:hint="eastAsia" w:ascii="宋体" w:hAnsi="宋体" w:cs="宋体"/>
                <w:color w:val="auto"/>
                <w:kern w:val="0"/>
                <w:sz w:val="24"/>
                <w:szCs w:val="24"/>
              </w:rPr>
              <w:t>法律、法规、规章、规范性文件，房地产行政主管部门指导的行业组织发布的行业公约规定可以记入警示信用信息的其他信息（每出现一例扣10分，扣完为止）</w:t>
            </w:r>
          </w:p>
        </w:tc>
        <w:tc>
          <w:tcPr>
            <w:tcW w:w="93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rPr>
            </w:pPr>
            <w:r>
              <w:rPr>
                <w:rFonts w:ascii="宋体" w:hAnsi="宋体" w:cs="宋体"/>
                <w:color w:val="auto"/>
                <w:kern w:val="0"/>
                <w:sz w:val="24"/>
                <w:szCs w:val="24"/>
              </w:rPr>
              <w:t>30</w:t>
            </w:r>
            <w:r>
              <w:rPr>
                <w:rFonts w:hint="eastAsia" w:ascii="宋体" w:hAnsi="宋体" w:cs="宋体"/>
                <w:color w:val="auto"/>
                <w:kern w:val="0"/>
                <w:sz w:val="24"/>
                <w:szCs w:val="24"/>
              </w:rPr>
              <w:t>分</w:t>
            </w:r>
          </w:p>
        </w:tc>
      </w:tr>
    </w:tbl>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p>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rPr>
      </w:pPr>
      <w:r>
        <w:rPr>
          <w:rFonts w:hint="eastAsia" w:ascii="宋体" w:hAnsi="宋体"/>
          <w:color w:val="auto"/>
          <w:sz w:val="24"/>
          <w:szCs w:val="24"/>
        </w:rPr>
        <w:t>备注：1、扣分信用记录有效期为1年，相关文件有规定的从其规定。</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720" w:firstLineChars="300"/>
        <w:textAlignment w:val="auto"/>
        <w:outlineLvl w:val="9"/>
        <w:rPr>
          <w:rFonts w:hint="eastAsia" w:ascii="宋体" w:hAnsi="宋体"/>
          <w:color w:val="auto"/>
          <w:sz w:val="24"/>
          <w:szCs w:val="24"/>
        </w:rPr>
      </w:pPr>
      <w:r>
        <w:rPr>
          <w:rFonts w:hint="eastAsia" w:ascii="宋体" w:hAnsi="宋体"/>
          <w:color w:val="auto"/>
          <w:sz w:val="24"/>
          <w:szCs w:val="24"/>
        </w:rPr>
        <w:t>2、提示信用记录有效期为3年，警示信用记录有效期为5年，法律法规另有规定的从其规定；提示信用记录和警示信用记录的计分期限，自该信用记录被首次披露之日起计算。</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720" w:firstLineChars="300"/>
        <w:textAlignment w:val="auto"/>
        <w:outlineLvl w:val="9"/>
        <w:rPr>
          <w:rFonts w:ascii="宋体" w:hAnsi="宋体"/>
          <w:color w:val="auto"/>
          <w:sz w:val="24"/>
          <w:szCs w:val="24"/>
        </w:rPr>
      </w:pPr>
      <w:r>
        <w:rPr>
          <w:rFonts w:hint="eastAsia" w:ascii="宋体" w:hAnsi="宋体"/>
          <w:color w:val="auto"/>
          <w:sz w:val="24"/>
          <w:szCs w:val="24"/>
        </w:rPr>
        <w:t>3、提示信用记录和警示信用记录属于可修复的，可以通过实质性整改措施进行修复，经原提供单位审核认可后，可以缩短其计分期限，但计分期限最短不能少于1年。</w:t>
      </w:r>
    </w:p>
    <w:p>
      <w:pPr>
        <w:keepNext w:val="0"/>
        <w:keepLines w:val="0"/>
        <w:pageBreakBefore w:val="0"/>
        <w:tabs>
          <w:tab w:val="left" w:pos="7488"/>
        </w:tabs>
        <w:kinsoku/>
        <w:wordWrap/>
        <w:overflowPunct/>
        <w:topLinePunct w:val="0"/>
        <w:autoSpaceDE/>
        <w:autoSpaceDN/>
        <w:bidi w:val="0"/>
        <w:adjustRightInd/>
        <w:snapToGrid/>
        <w:spacing w:line="440" w:lineRule="exact"/>
        <w:ind w:left="0" w:leftChars="0" w:right="0" w:rightChars="0" w:firstLine="5318" w:firstLineChars="1662"/>
        <w:textAlignment w:val="auto"/>
        <w:outlineLvl w:val="9"/>
      </w:pPr>
    </w:p>
    <w:p>
      <w:pPr>
        <w:keepNext w:val="0"/>
        <w:keepLines w:val="0"/>
        <w:pageBreakBefore w:val="0"/>
        <w:tabs>
          <w:tab w:val="left" w:pos="7488"/>
        </w:tabs>
        <w:kinsoku/>
        <w:wordWrap/>
        <w:overflowPunct/>
        <w:topLinePunct w:val="0"/>
        <w:autoSpaceDE/>
        <w:autoSpaceDN/>
        <w:bidi w:val="0"/>
        <w:adjustRightInd/>
        <w:snapToGrid/>
        <w:spacing w:line="440" w:lineRule="exact"/>
        <w:ind w:left="0" w:leftChars="0" w:right="0" w:rightChars="0" w:firstLine="5318" w:firstLineChars="1662"/>
        <w:textAlignment w:val="auto"/>
        <w:outlineLvl w:val="9"/>
      </w:pPr>
    </w:p>
    <w:p>
      <w:pPr>
        <w:keepNext w:val="0"/>
        <w:keepLines w:val="0"/>
        <w:pageBreakBefore w:val="0"/>
        <w:tabs>
          <w:tab w:val="left" w:pos="7488"/>
        </w:tabs>
        <w:kinsoku/>
        <w:wordWrap/>
        <w:overflowPunct/>
        <w:topLinePunct w:val="0"/>
        <w:autoSpaceDE/>
        <w:autoSpaceDN/>
        <w:bidi w:val="0"/>
        <w:adjustRightInd/>
        <w:snapToGrid/>
        <w:spacing w:line="440" w:lineRule="exact"/>
        <w:ind w:left="0" w:leftChars="0" w:right="0" w:rightChars="0" w:firstLine="5318" w:firstLineChars="1662"/>
        <w:textAlignment w:val="auto"/>
        <w:outlineLvl w:val="9"/>
      </w:pPr>
    </w:p>
    <w:p>
      <w:pPr>
        <w:keepNext w:val="0"/>
        <w:keepLines w:val="0"/>
        <w:pageBreakBefore w:val="0"/>
        <w:tabs>
          <w:tab w:val="left" w:pos="7488"/>
        </w:tabs>
        <w:kinsoku/>
        <w:wordWrap/>
        <w:overflowPunct/>
        <w:topLinePunct w:val="0"/>
        <w:autoSpaceDE/>
        <w:autoSpaceDN/>
        <w:bidi w:val="0"/>
        <w:adjustRightInd/>
        <w:snapToGrid/>
        <w:spacing w:line="440" w:lineRule="exact"/>
        <w:ind w:left="0" w:leftChars="0" w:right="0" w:rightChars="0" w:firstLine="5318" w:firstLineChars="1662"/>
        <w:textAlignment w:val="auto"/>
        <w:outlineLvl w:val="9"/>
      </w:pPr>
    </w:p>
    <w:p>
      <w:bookmarkStart w:id="0" w:name="_GoBack"/>
      <w:bookmarkEnd w:id="0"/>
    </w:p>
    <w:sectPr>
      <w:pgSz w:w="11906" w:h="16838"/>
      <w:pgMar w:top="1814" w:right="1587" w:bottom="1814" w:left="1587" w:header="851" w:footer="992" w:gutter="0"/>
      <w:paperSrc/>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0649B"/>
    <w:rsid w:val="1840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2020-03-30T02:53:00Z</dcterms:created>
  <dc:creator>Administrator</dc:creator>
  <cp:lastModifiedBy>Administrator</cp:lastModifiedBy>
  <dcterms:modified xsi:type="dcterms:W3CDTF">2020-03-30T02:58:56Z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